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lang w:val="en-US" w:eastAsia="zh-CN"/>
        </w:rPr>
      </w:pPr>
      <w:r>
        <w:rPr>
          <w:rFonts w:hint="eastAsia" w:ascii="方正小标宋简体" w:hAnsi="方正小标宋简体" w:eastAsia="方正小标宋简体" w:cs="方正小标宋简体"/>
          <w:b w:val="0"/>
          <w:i w:val="0"/>
          <w:caps w:val="0"/>
          <w:color w:val="auto"/>
          <w:spacing w:val="0"/>
          <w:sz w:val="44"/>
          <w:szCs w:val="44"/>
        </w:rPr>
        <w:t>关于征询</w:t>
      </w:r>
      <w:r>
        <w:rPr>
          <w:rFonts w:hint="eastAsia" w:ascii="方正小标宋简体" w:hAnsi="方正小标宋简体" w:eastAsia="方正小标宋简体" w:cs="方正小标宋简体"/>
          <w:b w:val="0"/>
          <w:i w:val="0"/>
          <w:caps w:val="0"/>
          <w:color w:val="auto"/>
          <w:spacing w:val="0"/>
          <w:sz w:val="44"/>
          <w:szCs w:val="44"/>
          <w:lang w:val="en-US" w:eastAsia="zh-CN"/>
        </w:rPr>
        <w:t>乐山市沙湾区人民医院和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rPr>
      </w:pPr>
      <w:r>
        <w:rPr>
          <w:rFonts w:hint="eastAsia" w:ascii="方正小标宋简体" w:hAnsi="方正小标宋简体" w:eastAsia="方正小标宋简体" w:cs="方正小标宋简体"/>
          <w:b w:val="0"/>
          <w:i w:val="0"/>
          <w:caps w:val="0"/>
          <w:color w:val="auto"/>
          <w:spacing w:val="0"/>
          <w:sz w:val="44"/>
          <w:szCs w:val="44"/>
          <w:lang w:val="en-US" w:eastAsia="zh-CN"/>
        </w:rPr>
        <w:t>峨边彝族自治县人民医院</w:t>
      </w:r>
      <w:r>
        <w:rPr>
          <w:rFonts w:hint="eastAsia" w:ascii="方正小标宋简体" w:hAnsi="方正小标宋简体" w:eastAsia="方正小标宋简体" w:cs="方正小标宋简体"/>
          <w:b w:val="0"/>
          <w:i w:val="0"/>
          <w:caps w:val="0"/>
          <w:color w:val="auto"/>
          <w:spacing w:val="0"/>
          <w:sz w:val="44"/>
          <w:szCs w:val="44"/>
        </w:rPr>
        <w:t>参加2023年度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rPr>
      </w:pPr>
      <w:r>
        <w:rPr>
          <w:rFonts w:hint="eastAsia" w:ascii="方正小标宋简体" w:hAnsi="方正小标宋简体" w:eastAsia="方正小标宋简体" w:cs="方正小标宋简体"/>
          <w:b w:val="0"/>
          <w:i w:val="0"/>
          <w:caps w:val="0"/>
          <w:color w:val="auto"/>
          <w:spacing w:val="0"/>
          <w:sz w:val="44"/>
          <w:szCs w:val="44"/>
          <w:lang w:val="en-US" w:eastAsia="zh-CN"/>
        </w:rPr>
        <w:t>二</w:t>
      </w:r>
      <w:r>
        <w:rPr>
          <w:rFonts w:hint="eastAsia" w:ascii="方正小标宋简体" w:hAnsi="方正小标宋简体" w:eastAsia="方正小标宋简体" w:cs="方正小标宋简体"/>
          <w:b w:val="0"/>
          <w:i w:val="0"/>
          <w:caps w:val="0"/>
          <w:color w:val="auto"/>
          <w:spacing w:val="0"/>
          <w:sz w:val="44"/>
          <w:szCs w:val="44"/>
        </w:rPr>
        <w:t>级综合医院复审意见的公告</w:t>
      </w:r>
    </w:p>
    <w:p>
      <w:pPr>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0F0E0E"/>
          <w:spacing w:val="0"/>
          <w:sz w:val="32"/>
          <w:szCs w:val="32"/>
        </w:rPr>
        <w:t>按照医院评审工作要求，</w:t>
      </w:r>
      <w:r>
        <w:rPr>
          <w:rFonts w:hint="eastAsia" w:ascii="仿宋_GB2312" w:hAnsi="仿宋_GB2312" w:eastAsia="仿宋_GB2312" w:cs="仿宋_GB2312"/>
          <w:i w:val="0"/>
          <w:caps w:val="0"/>
          <w:color w:val="0F0E0E"/>
          <w:spacing w:val="0"/>
          <w:sz w:val="32"/>
          <w:szCs w:val="32"/>
          <w:lang w:val="en-US" w:eastAsia="zh-CN"/>
        </w:rPr>
        <w:t>市卫生健康</w:t>
      </w:r>
      <w:r>
        <w:rPr>
          <w:rFonts w:hint="eastAsia" w:ascii="仿宋_GB2312" w:hAnsi="仿宋_GB2312" w:eastAsia="仿宋_GB2312" w:cs="仿宋_GB2312"/>
          <w:i w:val="0"/>
          <w:caps w:val="0"/>
          <w:color w:val="0F0E0E"/>
          <w:spacing w:val="0"/>
          <w:sz w:val="32"/>
          <w:szCs w:val="32"/>
        </w:rPr>
        <w:t>委今年拟对</w:t>
      </w:r>
      <w:r>
        <w:rPr>
          <w:rFonts w:hint="eastAsia" w:ascii="仿宋_GB2312" w:hAnsi="仿宋_GB2312" w:eastAsia="仿宋_GB2312" w:cs="仿宋_GB2312"/>
          <w:i w:val="0"/>
          <w:caps w:val="0"/>
          <w:color w:val="0F0E0E"/>
          <w:spacing w:val="0"/>
          <w:sz w:val="32"/>
          <w:szCs w:val="32"/>
          <w:lang w:val="en-US" w:eastAsia="zh-CN"/>
        </w:rPr>
        <w:t>乐山市沙湾区</w:t>
      </w:r>
      <w:r>
        <w:rPr>
          <w:rFonts w:hint="eastAsia" w:ascii="仿宋_GB2312" w:hAnsi="仿宋_GB2312" w:eastAsia="仿宋_GB2312" w:cs="仿宋_GB2312"/>
          <w:i w:val="0"/>
          <w:caps w:val="0"/>
          <w:color w:val="0F0E0E"/>
          <w:spacing w:val="0"/>
          <w:sz w:val="32"/>
          <w:szCs w:val="32"/>
        </w:rPr>
        <w:t>人民医院</w:t>
      </w:r>
      <w:r>
        <w:rPr>
          <w:rFonts w:hint="eastAsia" w:ascii="仿宋_GB2312" w:hAnsi="仿宋_GB2312" w:eastAsia="仿宋_GB2312" w:cs="仿宋_GB2312"/>
          <w:i w:val="0"/>
          <w:caps w:val="0"/>
          <w:color w:val="0F0E0E"/>
          <w:spacing w:val="0"/>
          <w:sz w:val="32"/>
          <w:szCs w:val="32"/>
          <w:lang w:val="en-US" w:eastAsia="zh-CN"/>
        </w:rPr>
        <w:t>和峨边彝族自治县人民医院</w:t>
      </w:r>
      <w:r>
        <w:rPr>
          <w:rFonts w:hint="eastAsia" w:ascii="仿宋_GB2312" w:hAnsi="仿宋_GB2312" w:eastAsia="仿宋_GB2312" w:cs="仿宋_GB2312"/>
          <w:i w:val="0"/>
          <w:caps w:val="0"/>
          <w:color w:val="0F0E0E"/>
          <w:spacing w:val="0"/>
          <w:sz w:val="32"/>
          <w:szCs w:val="32"/>
        </w:rPr>
        <w:t>开展</w:t>
      </w:r>
      <w:r>
        <w:rPr>
          <w:rFonts w:hint="eastAsia" w:ascii="仿宋_GB2312" w:hAnsi="仿宋_GB2312" w:eastAsia="仿宋_GB2312" w:cs="仿宋_GB2312"/>
          <w:i w:val="0"/>
          <w:caps w:val="0"/>
          <w:color w:val="0F0E0E"/>
          <w:spacing w:val="0"/>
          <w:sz w:val="32"/>
          <w:szCs w:val="32"/>
          <w:lang w:val="en-US" w:eastAsia="zh-CN"/>
        </w:rPr>
        <w:t>二</w:t>
      </w:r>
      <w:r>
        <w:rPr>
          <w:rFonts w:hint="eastAsia" w:ascii="仿宋_GB2312" w:hAnsi="仿宋_GB2312" w:eastAsia="仿宋_GB2312" w:cs="仿宋_GB2312"/>
          <w:i w:val="0"/>
          <w:caps w:val="0"/>
          <w:color w:val="0F0E0E"/>
          <w:spacing w:val="0"/>
          <w:sz w:val="32"/>
          <w:szCs w:val="32"/>
        </w:rPr>
        <w:t>级医院复审工作，现向社会公开征询参评医院是否存在《四川省二级综合医院评审操作手册（2023年版）》前置要求（见附件）的情况。如有意见和情况反映，</w:t>
      </w:r>
      <w:r>
        <w:rPr>
          <w:rFonts w:hint="eastAsia" w:ascii="仿宋_GB2312" w:hAnsi="仿宋_GB2312" w:eastAsia="仿宋_GB2312" w:cs="仿宋_GB2312"/>
          <w:i w:val="0"/>
          <w:caps w:val="0"/>
          <w:color w:val="auto"/>
          <w:spacing w:val="0"/>
          <w:sz w:val="32"/>
          <w:szCs w:val="32"/>
        </w:rPr>
        <w:t>请于2023年</w:t>
      </w:r>
      <w:r>
        <w:rPr>
          <w:rFonts w:hint="eastAsia" w:ascii="仿宋_GB2312" w:hAnsi="仿宋_GB2312" w:eastAsia="仿宋_GB2312" w:cs="仿宋_GB2312"/>
          <w:i w:val="0"/>
          <w:caps w:val="0"/>
          <w:color w:val="auto"/>
          <w:spacing w:val="0"/>
          <w:sz w:val="32"/>
          <w:szCs w:val="32"/>
          <w:lang w:val="en-US" w:eastAsia="zh-CN"/>
        </w:rPr>
        <w:t>11</w:t>
      </w:r>
      <w:r>
        <w:rPr>
          <w:rFonts w:hint="eastAsia" w:ascii="仿宋_GB2312" w:hAnsi="仿宋_GB2312" w:eastAsia="仿宋_GB2312" w:cs="仿宋_GB2312"/>
          <w:i w:val="0"/>
          <w:caps w:val="0"/>
          <w:color w:val="auto"/>
          <w:spacing w:val="0"/>
          <w:sz w:val="32"/>
          <w:szCs w:val="32"/>
        </w:rPr>
        <w:t>月</w:t>
      </w:r>
      <w:r>
        <w:rPr>
          <w:rFonts w:hint="eastAsia" w:ascii="仿宋_GB2312" w:hAnsi="仿宋_GB2312" w:eastAsia="仿宋_GB2312" w:cs="仿宋_GB2312"/>
          <w:i w:val="0"/>
          <w:caps w:val="0"/>
          <w:color w:val="auto"/>
          <w:spacing w:val="0"/>
          <w:sz w:val="32"/>
          <w:szCs w:val="32"/>
          <w:lang w:val="en-US" w:eastAsia="zh-CN"/>
        </w:rPr>
        <w:t>17</w:t>
      </w:r>
      <w:r>
        <w:rPr>
          <w:rFonts w:hint="eastAsia" w:ascii="仿宋_GB2312" w:hAnsi="仿宋_GB2312" w:eastAsia="仿宋_GB2312" w:cs="仿宋_GB2312"/>
          <w:i w:val="0"/>
          <w:caps w:val="0"/>
          <w:color w:val="auto"/>
          <w:spacing w:val="0"/>
          <w:sz w:val="32"/>
          <w:szCs w:val="32"/>
        </w:rPr>
        <w:t>日18时前，以实名来信或来访反映。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F0E0E"/>
          <w:spacing w:val="0"/>
          <w:sz w:val="32"/>
          <w:szCs w:val="32"/>
        </w:rPr>
        <w:t>电话：0</w:t>
      </w:r>
      <w:r>
        <w:rPr>
          <w:rFonts w:hint="eastAsia" w:ascii="仿宋_GB2312" w:hAnsi="仿宋_GB2312" w:eastAsia="仿宋_GB2312" w:cs="仿宋_GB2312"/>
          <w:i w:val="0"/>
          <w:caps w:val="0"/>
          <w:color w:val="0F0E0E"/>
          <w:spacing w:val="0"/>
          <w:sz w:val="32"/>
          <w:szCs w:val="32"/>
          <w:lang w:val="en-US" w:eastAsia="zh-CN"/>
        </w:rPr>
        <w:t>833</w:t>
      </w:r>
      <w:r>
        <w:rPr>
          <w:rFonts w:hint="eastAsia" w:ascii="仿宋_GB2312" w:hAnsi="仿宋_GB2312" w:eastAsia="仿宋_GB2312" w:cs="仿宋_GB2312"/>
          <w:i w:val="0"/>
          <w:caps w:val="0"/>
          <w:color w:val="0F0E0E"/>
          <w:spacing w:val="0"/>
          <w:sz w:val="32"/>
          <w:szCs w:val="32"/>
        </w:rPr>
        <w:t>-</w:t>
      </w:r>
      <w:r>
        <w:rPr>
          <w:rFonts w:hint="eastAsia" w:ascii="仿宋_GB2312" w:hAnsi="仿宋_GB2312" w:eastAsia="仿宋_GB2312" w:cs="仿宋_GB2312"/>
          <w:i w:val="0"/>
          <w:caps w:val="0"/>
          <w:color w:val="0F0E0E"/>
          <w:spacing w:val="0"/>
          <w:sz w:val="32"/>
          <w:szCs w:val="32"/>
          <w:lang w:val="en-US" w:eastAsia="zh-CN"/>
        </w:rPr>
        <w:t>2495903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F0E0E"/>
          <w:spacing w:val="0"/>
          <w:sz w:val="32"/>
          <w:szCs w:val="32"/>
        </w:rPr>
        <w:t>地址：</w:t>
      </w:r>
      <w:r>
        <w:rPr>
          <w:rFonts w:hint="eastAsia" w:ascii="仿宋_GB2312" w:hAnsi="仿宋_GB2312" w:eastAsia="仿宋_GB2312" w:cs="仿宋_GB2312"/>
          <w:i w:val="0"/>
          <w:caps w:val="0"/>
          <w:color w:val="0F0E0E"/>
          <w:spacing w:val="0"/>
          <w:sz w:val="32"/>
          <w:szCs w:val="32"/>
          <w:lang w:val="en-US" w:eastAsia="zh-CN"/>
        </w:rPr>
        <w:t>乐山市市中区白蜡街105号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0F0E0E"/>
          <w:spacing w:val="0"/>
          <w:sz w:val="32"/>
          <w:szCs w:val="32"/>
          <w:lang w:val="en-US" w:eastAsia="zh-CN"/>
        </w:rPr>
      </w:pPr>
      <w:r>
        <w:rPr>
          <w:rFonts w:hint="eastAsia" w:ascii="仿宋_GB2312" w:hAnsi="仿宋_GB2312" w:eastAsia="仿宋_GB2312" w:cs="仿宋_GB2312"/>
          <w:i w:val="0"/>
          <w:caps w:val="0"/>
          <w:color w:val="0F0E0E"/>
          <w:spacing w:val="0"/>
          <w:sz w:val="32"/>
          <w:szCs w:val="32"/>
          <w:lang w:val="en-US" w:eastAsia="zh-CN"/>
        </w:rPr>
        <w:t>邮政编码：614000</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仿宋_GB2312" w:hAnsi="仿宋_GB2312" w:eastAsia="仿宋_GB2312" w:cs="仿宋_GB2312"/>
          <w:i w:val="0"/>
          <w:caps w:val="0"/>
          <w:color w:val="0F0E0E"/>
          <w:spacing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0F0E0E"/>
          <w:spacing w:val="0"/>
          <w:sz w:val="32"/>
          <w:szCs w:val="32"/>
        </w:rPr>
      </w:pPr>
      <w:r>
        <w:rPr>
          <w:rFonts w:hint="eastAsia" w:ascii="仿宋_GB2312" w:hAnsi="仿宋_GB2312" w:eastAsia="仿宋_GB2312" w:cs="仿宋_GB2312"/>
          <w:i w:val="0"/>
          <w:caps w:val="0"/>
          <w:color w:val="0F0E0E"/>
          <w:spacing w:val="0"/>
          <w:sz w:val="32"/>
          <w:szCs w:val="32"/>
        </w:rPr>
        <w:t>附件：《四川省二级综合医院评审操作手册（2023年版）》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1280" w:firstLineChars="400"/>
        <w:jc w:val="both"/>
        <w:textAlignment w:val="auto"/>
        <w:rPr>
          <w:rFonts w:hint="eastAsia" w:ascii="仿宋_GB2312" w:hAnsi="仿宋_GB2312" w:eastAsia="仿宋_GB2312" w:cs="仿宋_GB2312"/>
          <w:i w:val="0"/>
          <w:caps w:val="0"/>
          <w:color w:val="0F0E0E"/>
          <w:spacing w:val="0"/>
          <w:sz w:val="32"/>
          <w:szCs w:val="32"/>
        </w:rPr>
      </w:pPr>
      <w:r>
        <w:rPr>
          <w:rFonts w:hint="eastAsia" w:ascii="仿宋_GB2312" w:hAnsi="仿宋_GB2312" w:eastAsia="仿宋_GB2312" w:cs="仿宋_GB2312"/>
          <w:i w:val="0"/>
          <w:caps w:val="0"/>
          <w:color w:val="0F0E0E"/>
          <w:spacing w:val="0"/>
          <w:sz w:val="32"/>
          <w:szCs w:val="32"/>
        </w:rPr>
        <w:t>前置要求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0F0E0E"/>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520" w:firstLineChars="1100"/>
        <w:jc w:val="both"/>
        <w:textAlignment w:val="auto"/>
        <w:rPr>
          <w:rFonts w:hint="eastAsia" w:ascii="仿宋_GB2312" w:hAnsi="仿宋_GB2312" w:eastAsia="仿宋_GB2312" w:cs="仿宋_GB2312"/>
          <w:i w:val="0"/>
          <w:caps w:val="0"/>
          <w:color w:val="0F0E0E"/>
          <w:spacing w:val="0"/>
          <w:sz w:val="32"/>
          <w:szCs w:val="32"/>
          <w:lang w:val="en-US" w:eastAsia="zh-CN"/>
        </w:rPr>
      </w:pPr>
      <w:r>
        <w:rPr>
          <w:rFonts w:hint="eastAsia" w:ascii="仿宋_GB2312" w:hAnsi="仿宋_GB2312" w:eastAsia="仿宋_GB2312" w:cs="仿宋_GB2312"/>
          <w:i w:val="0"/>
          <w:caps w:val="0"/>
          <w:color w:val="0F0E0E"/>
          <w:spacing w:val="0"/>
          <w:sz w:val="32"/>
          <w:szCs w:val="32"/>
          <w:lang w:val="en-US" w:eastAsia="zh-CN"/>
        </w:rPr>
        <w:t>乐山市卫生健康委员会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0" w:firstLineChars="1200"/>
        <w:jc w:val="both"/>
        <w:textAlignment w:val="auto"/>
        <w:rPr>
          <w:rFonts w:hint="eastAsia" w:ascii="仿宋_GB2312" w:hAnsi="仿宋_GB2312" w:eastAsia="仿宋_GB2312" w:cs="仿宋_GB2312"/>
          <w:i w:val="0"/>
          <w:caps w:val="0"/>
          <w:color w:val="0F0E0E"/>
          <w:spacing w:val="0"/>
          <w:sz w:val="32"/>
          <w:szCs w:val="32"/>
          <w:lang w:val="en-US" w:eastAsia="zh-CN"/>
        </w:rPr>
      </w:pPr>
      <w:r>
        <w:rPr>
          <w:rFonts w:hint="eastAsia" w:ascii="仿宋_GB2312" w:hAnsi="仿宋_GB2312" w:eastAsia="仿宋_GB2312" w:cs="仿宋_GB2312"/>
          <w:i w:val="0"/>
          <w:caps w:val="0"/>
          <w:color w:val="0F0E0E"/>
          <w:spacing w:val="0"/>
          <w:sz w:val="32"/>
          <w:szCs w:val="32"/>
          <w:lang w:val="en-US" w:eastAsia="zh-CN"/>
        </w:rPr>
        <w:t>2023年11月8日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0" w:firstLineChars="1200"/>
        <w:jc w:val="both"/>
        <w:textAlignment w:val="auto"/>
        <w:rPr>
          <w:rFonts w:hint="eastAsia" w:ascii="仿宋_GB2312" w:hAnsi="仿宋_GB2312" w:eastAsia="仿宋_GB2312" w:cs="仿宋_GB2312"/>
          <w:i w:val="0"/>
          <w:caps w:val="0"/>
          <w:color w:val="0F0E0E"/>
          <w:spacing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40" w:firstLineChars="1200"/>
        <w:jc w:val="both"/>
        <w:textAlignment w:val="auto"/>
        <w:rPr>
          <w:rFonts w:hint="eastAsia" w:ascii="仿宋_GB2312" w:hAnsi="仿宋_GB2312" w:eastAsia="仿宋_GB2312" w:cs="仿宋_GB2312"/>
          <w:i w:val="0"/>
          <w:caps w:val="0"/>
          <w:color w:val="0F0E0E"/>
          <w:spacing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i w:val="0"/>
          <w:caps w:val="0"/>
          <w:color w:val="0F0E0E"/>
          <w:spacing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黑体" w:hAnsi="黑体" w:eastAsia="黑体" w:cs="黑体"/>
          <w:i w:val="0"/>
          <w:caps w:val="0"/>
          <w:color w:val="0F0E0E"/>
          <w:spacing w:val="0"/>
          <w:sz w:val="32"/>
          <w:szCs w:val="32"/>
          <w:lang w:val="en-US" w:eastAsia="zh-CN"/>
        </w:rPr>
      </w:pPr>
      <w:r>
        <w:rPr>
          <w:rFonts w:hint="eastAsia" w:ascii="黑体" w:hAnsi="黑体" w:eastAsia="黑体" w:cs="黑体"/>
          <w:i w:val="0"/>
          <w:caps w:val="0"/>
          <w:color w:val="0F0E0E"/>
          <w:spacing w:val="0"/>
          <w:sz w:val="32"/>
          <w:szCs w:val="32"/>
          <w:lang w:val="en-US"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《四川省二级综合医院评审操作手册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（2023年版）》前置要求</w:t>
      </w:r>
    </w:p>
    <w:tbl>
      <w:tblPr>
        <w:tblStyle w:val="5"/>
        <w:tblW w:w="10330" w:type="dxa"/>
        <w:jc w:val="center"/>
        <w:tblLayout w:type="fixed"/>
        <w:tblCellMar>
          <w:top w:w="0" w:type="dxa"/>
          <w:left w:w="108" w:type="dxa"/>
          <w:bottom w:w="0" w:type="dxa"/>
          <w:right w:w="108" w:type="dxa"/>
        </w:tblCellMar>
      </w:tblPr>
      <w:tblGrid>
        <w:gridCol w:w="1246"/>
        <w:gridCol w:w="696"/>
        <w:gridCol w:w="8388"/>
      </w:tblGrid>
      <w:tr>
        <w:tblPrEx>
          <w:tblCellMar>
            <w:top w:w="0" w:type="dxa"/>
            <w:left w:w="108" w:type="dxa"/>
            <w:bottom w:w="0" w:type="dxa"/>
            <w:right w:w="108" w:type="dxa"/>
          </w:tblCellMar>
        </w:tblPrEx>
        <w:trPr>
          <w:trHeight w:val="471" w:hRule="atLeast"/>
          <w:jc w:val="center"/>
        </w:trPr>
        <w:tc>
          <w:tcPr>
            <w:tcW w:w="124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章节</w:t>
            </w:r>
          </w:p>
        </w:tc>
        <w:tc>
          <w:tcPr>
            <w:tcW w:w="69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序号</w:t>
            </w:r>
          </w:p>
        </w:tc>
        <w:tc>
          <w:tcPr>
            <w:tcW w:w="838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 xml:space="preserve">  内  容</w:t>
            </w:r>
          </w:p>
        </w:tc>
      </w:tr>
      <w:tr>
        <w:tblPrEx>
          <w:tblCellMar>
            <w:top w:w="0" w:type="dxa"/>
            <w:left w:w="108" w:type="dxa"/>
            <w:bottom w:w="0" w:type="dxa"/>
            <w:right w:w="108" w:type="dxa"/>
          </w:tblCellMar>
        </w:tblPrEx>
        <w:trPr>
          <w:trHeight w:val="884" w:hRule="atLeast"/>
          <w:jc w:val="center"/>
        </w:trPr>
        <w:tc>
          <w:tcPr>
            <w:tcW w:w="12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依法设置与执业</w:t>
            </w:r>
          </w:p>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（15条）</w:t>
            </w:r>
          </w:p>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医院规模和基本设置未达到《医疗机构管理条例》《医疗机构基本标准（试行）》所要求的医院标准。</w:t>
            </w:r>
          </w:p>
        </w:tc>
      </w:tr>
      <w:tr>
        <w:tblPrEx>
          <w:tblCellMar>
            <w:top w:w="0" w:type="dxa"/>
            <w:left w:w="108" w:type="dxa"/>
            <w:bottom w:w="0" w:type="dxa"/>
            <w:right w:w="108" w:type="dxa"/>
          </w:tblCellMar>
        </w:tblPrEx>
        <w:trPr>
          <w:trHeight w:val="2666"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公立医院承包、出租药房，向盈利性企业托管药房，以任何形式开设营利性药店；非营利性医疗卫生机构向出资人、举办者分配或变相分配收益。</w:t>
            </w:r>
          </w:p>
        </w:tc>
      </w:tr>
      <w:tr>
        <w:tblPrEx>
          <w:tblCellMar>
            <w:top w:w="0" w:type="dxa"/>
            <w:left w:w="108" w:type="dxa"/>
            <w:bottom w:w="0" w:type="dxa"/>
            <w:right w:w="108" w:type="dxa"/>
          </w:tblCellMar>
        </w:tblPrEx>
        <w:trPr>
          <w:trHeight w:val="76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kern w:val="0"/>
                <w:sz w:val="24"/>
                <w:lang w:bidi="ar"/>
              </w:rPr>
            </w:pPr>
            <w:r>
              <w:rPr>
                <w:rFonts w:hint="eastAsia" w:ascii="仿宋_GB2312" w:hAnsi="宋体" w:eastAsia="仿宋_GB2312" w:cs="宋体"/>
                <w:color w:val="auto"/>
                <w:kern w:val="0"/>
                <w:sz w:val="24"/>
                <w:lang w:bidi="ar"/>
              </w:rPr>
              <w:t>3</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i w:val="0"/>
                <w:caps w:val="0"/>
                <w:color w:val="auto"/>
                <w:spacing w:val="0"/>
                <w:sz w:val="24"/>
                <w:szCs w:val="24"/>
                <w:shd w:val="clear" w:fill="FFFFFF"/>
              </w:rPr>
              <w:t>违反《中华人民共和国执业医师法》《医疗机构管理条例》《护士条例》，使用非卫生技术人员从事医疗卫生技术工作。</w:t>
            </w:r>
          </w:p>
        </w:tc>
      </w:tr>
      <w:tr>
        <w:tblPrEx>
          <w:tblCellMar>
            <w:top w:w="0" w:type="dxa"/>
            <w:left w:w="108" w:type="dxa"/>
            <w:bottom w:w="0" w:type="dxa"/>
            <w:right w:w="108" w:type="dxa"/>
          </w:tblCellMar>
        </w:tblPrEx>
        <w:trPr>
          <w:trHeight w:val="1061"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4</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违反《中华人民共和国药品管理法》《医疗器械监督管理条例》，违法违规采购或使用药品、设备、器械、耗材开展诊疗活动，造成严重后果；未经许可配置使用需要准入审批的大型医用设备。</w:t>
            </w:r>
          </w:p>
        </w:tc>
      </w:tr>
      <w:tr>
        <w:tblPrEx>
          <w:tblCellMar>
            <w:top w:w="0" w:type="dxa"/>
            <w:left w:w="108" w:type="dxa"/>
            <w:bottom w:w="0" w:type="dxa"/>
            <w:right w:w="108" w:type="dxa"/>
          </w:tblCellMar>
        </w:tblPrEx>
        <w:trPr>
          <w:trHeight w:val="779"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5</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违反《中华人民共和国母婴保健法》，未取得母婴保健技术服务执业许可证开展相关母婴保健技术。</w:t>
            </w:r>
          </w:p>
        </w:tc>
      </w:tr>
      <w:tr>
        <w:tblPrEx>
          <w:tblCellMar>
            <w:top w:w="0" w:type="dxa"/>
            <w:left w:w="108" w:type="dxa"/>
            <w:bottom w:w="0" w:type="dxa"/>
            <w:right w:w="108" w:type="dxa"/>
          </w:tblCellMar>
        </w:tblPrEx>
        <w:trPr>
          <w:trHeight w:val="78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6</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违反《人体器官移植条例》，买卖人体器官或者从事与买卖人体器官有关的活动，未经许可开展人体器官获取与移植技术。</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7</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违反《中华人民共和国献血法》，非法采集血液，非法组织他人出卖血液，出售无偿献血的血液。</w:t>
            </w:r>
          </w:p>
        </w:tc>
      </w:tr>
      <w:tr>
        <w:tblPrEx>
          <w:tblCellMar>
            <w:top w:w="0" w:type="dxa"/>
            <w:left w:w="108" w:type="dxa"/>
            <w:bottom w:w="0" w:type="dxa"/>
            <w:right w:w="108" w:type="dxa"/>
          </w:tblCellMar>
        </w:tblPrEx>
        <w:trPr>
          <w:trHeight w:val="98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8</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中华人民共和国传染病防治法》《中华人民共和国生物安全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9</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违反《医疗纠纷预防和处理条例》《医疗事故处理条例》，篡改、伪造、隐匿、毁灭病历资料，造成严重后果。</w:t>
            </w:r>
          </w:p>
        </w:tc>
      </w:tr>
      <w:tr>
        <w:tblPrEx>
          <w:tblCellMar>
            <w:top w:w="0" w:type="dxa"/>
            <w:left w:w="108" w:type="dxa"/>
            <w:bottom w:w="0" w:type="dxa"/>
            <w:right w:w="108" w:type="dxa"/>
          </w:tblCellMar>
        </w:tblPrEx>
        <w:trPr>
          <w:trHeight w:val="78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仿宋_GB2312" w:hAnsi="宋体" w:eastAsia="仿宋_GB2312" w:cs="宋体"/>
                <w:color w:val="000000"/>
                <w:kern w:val="0"/>
                <w:sz w:val="24"/>
                <w:lang w:bidi="ar"/>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10</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违反《医疗技术临床应用管理办法》，将未通过技术评估与伦理审查的医疗新技术、禁止类医疗技术应用于临床，造成严重后果。</w:t>
            </w:r>
          </w:p>
        </w:tc>
      </w:tr>
      <w:tr>
        <w:tblPrEx>
          <w:tblCellMar>
            <w:top w:w="0" w:type="dxa"/>
            <w:left w:w="108" w:type="dxa"/>
            <w:bottom w:w="0" w:type="dxa"/>
            <w:right w:w="108" w:type="dxa"/>
          </w:tblCellMar>
        </w:tblPrEx>
        <w:trPr>
          <w:trHeight w:val="102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11</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麻醉药品和精神药品管理条例》《易制毒化学品管理条例》《处方管理办法》，违规购买、储存、调剂、开具、登记、销毁麻醉药品和第一类精神药品，使用未取得处方权的人员或被取消处方权的医师开具处方，造成严重后果。</w:t>
            </w:r>
          </w:p>
        </w:tc>
      </w:tr>
      <w:tr>
        <w:tblPrEx>
          <w:tblCellMar>
            <w:top w:w="0" w:type="dxa"/>
            <w:left w:w="108" w:type="dxa"/>
            <w:bottom w:w="0" w:type="dxa"/>
            <w:right w:w="108" w:type="dxa"/>
          </w:tblCellMar>
        </w:tblPrEx>
        <w:trPr>
          <w:trHeight w:val="600" w:hRule="atLeast"/>
          <w:jc w:val="center"/>
        </w:trPr>
        <w:tc>
          <w:tcPr>
            <w:tcW w:w="12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p>
          <w:p>
            <w:pPr>
              <w:widowControl/>
              <w:jc w:val="center"/>
              <w:textAlignment w:val="center"/>
              <w:rPr>
                <w:rFonts w:hint="eastAsia" w:ascii="仿宋_GB2312" w:hAnsi="宋体" w:eastAsia="仿宋_GB2312" w:cs="宋体"/>
                <w:color w:val="000000"/>
                <w:kern w:val="0"/>
                <w:sz w:val="24"/>
                <w:lang w:bidi="ar"/>
              </w:rPr>
            </w:pPr>
          </w:p>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依法设置与执业</w:t>
            </w:r>
          </w:p>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（15条）</w:t>
            </w:r>
          </w:p>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12</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违反《放射诊疗管理规定》，未取得放射诊疗许可从事放射诊疗工作，造成严重后果。</w:t>
            </w:r>
          </w:p>
        </w:tc>
      </w:tr>
      <w:tr>
        <w:tblPrEx>
          <w:tblCellMar>
            <w:top w:w="0" w:type="dxa"/>
            <w:left w:w="108" w:type="dxa"/>
            <w:bottom w:w="0" w:type="dxa"/>
            <w:right w:w="108" w:type="dxa"/>
          </w:tblCellMar>
        </w:tblPrEx>
        <w:trPr>
          <w:trHeight w:val="72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13</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违反《中华人民共和国职业病防治法》，未依法开展职业健康检查或职业病诊断、未依法履行职业病与疑似职业病报告等法定职责，造成严重后果。</w:t>
            </w:r>
          </w:p>
        </w:tc>
      </w:tr>
      <w:tr>
        <w:tblPrEx>
          <w:tblCellMar>
            <w:top w:w="0" w:type="dxa"/>
            <w:left w:w="108" w:type="dxa"/>
            <w:bottom w:w="0" w:type="dxa"/>
            <w:right w:w="108" w:type="dxa"/>
          </w:tblCellMar>
        </w:tblPrEx>
        <w:trPr>
          <w:trHeight w:val="644"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14</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违反《中华人民共和国广告法》《医疗广告管理办法》，违规发布医疗广告，情节严重。</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15</w:t>
            </w:r>
          </w:p>
        </w:tc>
        <w:tc>
          <w:tcPr>
            <w:tcW w:w="83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其他重大违法、违规事件，造成严重后果或情节严重。</w:t>
            </w:r>
          </w:p>
        </w:tc>
      </w:tr>
      <w:tr>
        <w:tblPrEx>
          <w:tblCellMar>
            <w:top w:w="0" w:type="dxa"/>
            <w:left w:w="108" w:type="dxa"/>
            <w:bottom w:w="0" w:type="dxa"/>
            <w:right w:w="108" w:type="dxa"/>
          </w:tblCellMar>
        </w:tblPrEx>
        <w:trPr>
          <w:trHeight w:val="600" w:hRule="atLeast"/>
          <w:jc w:val="center"/>
        </w:trPr>
        <w:tc>
          <w:tcPr>
            <w:tcW w:w="1246"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公益性责任和行风诚信</w:t>
            </w:r>
          </w:p>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（5条）</w:t>
            </w:r>
          </w:p>
        </w:tc>
        <w:tc>
          <w:tcPr>
            <w:tcW w:w="696"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16</w:t>
            </w:r>
          </w:p>
        </w:tc>
        <w:tc>
          <w:tcPr>
            <w:tcW w:w="8388"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应当完成而未完成对口支援、中国援外医疗队、 突发公共事件医疗救援、公共卫生任务等政府指令性工作。</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17</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应当执行而未执行国家基本药物制度和分级诊疗政策。</w:t>
            </w:r>
          </w:p>
        </w:tc>
      </w:tr>
      <w:tr>
        <w:tblPrEx>
          <w:tblCellMar>
            <w:top w:w="0" w:type="dxa"/>
            <w:left w:w="108" w:type="dxa"/>
            <w:bottom w:w="0" w:type="dxa"/>
            <w:right w:w="108" w:type="dxa"/>
          </w:tblCellMar>
        </w:tblPrEx>
        <w:trPr>
          <w:trHeight w:val="84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18</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医院领导班子发生3起以上严重职务犯罪或严重违纪事件，或医务人员发生3起以上违反</w:t>
            </w:r>
            <w:r>
              <w:rPr>
                <w:rFonts w:hint="eastAsia" w:ascii="仿宋_GB2312" w:hAnsi="仿宋_GB2312" w:eastAsia="仿宋_GB2312" w:cs="仿宋_GB2312"/>
                <w:i w:val="0"/>
                <w:caps w:val="0"/>
                <w:color w:val="auto"/>
                <w:spacing w:val="-12"/>
                <w:sz w:val="24"/>
                <w:szCs w:val="24"/>
                <w:shd w:val="clear" w:fill="FFFFFF"/>
              </w:rPr>
              <w:t>《医疗机构工作人员廉洁从</w:t>
            </w:r>
            <w:r>
              <w:rPr>
                <w:rFonts w:hint="eastAsia" w:ascii="仿宋_GB2312" w:hAnsi="仿宋_GB2312" w:eastAsia="仿宋_GB2312" w:cs="仿宋_GB2312"/>
                <w:i w:val="0"/>
                <w:caps w:val="0"/>
                <w:color w:val="auto"/>
                <w:spacing w:val="4"/>
                <w:sz w:val="24"/>
                <w:szCs w:val="24"/>
                <w:shd w:val="clear" w:fill="FFFFFF"/>
              </w:rPr>
              <w:t>业九项准则》</w:t>
            </w:r>
            <w:r>
              <w:rPr>
                <w:rFonts w:hint="eastAsia" w:ascii="仿宋_GB2312" w:hAnsi="仿宋_GB2312" w:eastAsia="仿宋_GB2312" w:cs="仿宋_GB2312"/>
                <w:i w:val="0"/>
                <w:caps w:val="0"/>
                <w:color w:val="auto"/>
                <w:spacing w:val="0"/>
                <w:sz w:val="24"/>
                <w:szCs w:val="24"/>
                <w:shd w:val="clear" w:fill="FFFFFF"/>
              </w:rPr>
              <w:t>的群体性事件（≥3人/起），造成重大社会影响。</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19</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发生重大价格或收费违法事件，以及恶意骗取医保基金。</w:t>
            </w:r>
          </w:p>
        </w:tc>
      </w:tr>
      <w:tr>
        <w:tblPrEx>
          <w:tblCellMar>
            <w:top w:w="0" w:type="dxa"/>
            <w:left w:w="108" w:type="dxa"/>
            <w:bottom w:w="0" w:type="dxa"/>
            <w:right w:w="108" w:type="dxa"/>
          </w:tblCellMar>
        </w:tblPrEx>
        <w:trPr>
          <w:trHeight w:val="74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20</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违反《中华人民共和国统计法》《医疗质量管理办法》《医学科研诚信和相关行为规范》相关要求，提供、报告虚假住院病案首页等医疗服务信息、统计数据、申报材料和科研成果，情节严重。</w:t>
            </w:r>
          </w:p>
        </w:tc>
      </w:tr>
      <w:tr>
        <w:tblPrEx>
          <w:tblCellMar>
            <w:top w:w="0" w:type="dxa"/>
            <w:left w:w="108" w:type="dxa"/>
            <w:bottom w:w="0" w:type="dxa"/>
            <w:right w:w="108" w:type="dxa"/>
          </w:tblCellMar>
        </w:tblPrEx>
        <w:trPr>
          <w:trHeight w:val="600" w:hRule="atLeast"/>
          <w:jc w:val="center"/>
        </w:trPr>
        <w:tc>
          <w:tcPr>
            <w:tcW w:w="124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安全管理与重大事件</w:t>
            </w:r>
          </w:p>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（5条）</w:t>
            </w:r>
          </w:p>
          <w:p>
            <w:pPr>
              <w:widowControl/>
              <w:jc w:val="center"/>
              <w:textAlignment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21</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发生定性为完全责任的一级医疗事故或直接被卫生健康行政部门判定的重大医疗事故。</w:t>
            </w:r>
          </w:p>
        </w:tc>
      </w:tr>
      <w:tr>
        <w:tblPrEx>
          <w:tblCellMar>
            <w:top w:w="0" w:type="dxa"/>
            <w:left w:w="108" w:type="dxa"/>
            <w:bottom w:w="0" w:type="dxa"/>
            <w:right w:w="108" w:type="dxa"/>
          </w:tblCellMar>
        </w:tblPrEx>
        <w:trPr>
          <w:trHeight w:val="600" w:hRule="atLeast"/>
          <w:jc w:val="center"/>
        </w:trPr>
        <w:tc>
          <w:tcPr>
            <w:tcW w:w="124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22</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发生重大医院感染事件，造成严重后果。</w:t>
            </w:r>
          </w:p>
        </w:tc>
      </w:tr>
      <w:tr>
        <w:tblPrEx>
          <w:tblCellMar>
            <w:top w:w="0" w:type="dxa"/>
            <w:left w:w="108" w:type="dxa"/>
            <w:bottom w:w="0" w:type="dxa"/>
            <w:right w:w="108" w:type="dxa"/>
          </w:tblCellMar>
        </w:tblPrEx>
        <w:trPr>
          <w:trHeight w:val="600" w:hRule="atLeast"/>
          <w:jc w:val="center"/>
        </w:trPr>
        <w:tc>
          <w:tcPr>
            <w:tcW w:w="124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23</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发生因重大火灾、放射源泄漏、有害气体泄漏等被通报或处罚的重大安全事故。</w:t>
            </w:r>
          </w:p>
        </w:tc>
      </w:tr>
      <w:tr>
        <w:tblPrEx>
          <w:tblCellMar>
            <w:top w:w="0" w:type="dxa"/>
            <w:left w:w="108" w:type="dxa"/>
            <w:bottom w:w="0" w:type="dxa"/>
            <w:right w:w="108" w:type="dxa"/>
          </w:tblCellMar>
        </w:tblPrEx>
        <w:trPr>
          <w:trHeight w:val="600" w:hRule="atLeast"/>
          <w:jc w:val="center"/>
        </w:trPr>
        <w:tc>
          <w:tcPr>
            <w:tcW w:w="124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24</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发生瞒报、漏报重大医疗过失事件的行为。</w:t>
            </w:r>
          </w:p>
        </w:tc>
      </w:tr>
      <w:tr>
        <w:tblPrEx>
          <w:tblCellMar>
            <w:top w:w="0" w:type="dxa"/>
            <w:left w:w="108" w:type="dxa"/>
            <w:bottom w:w="0" w:type="dxa"/>
            <w:right w:w="108" w:type="dxa"/>
          </w:tblCellMar>
        </w:tblPrEx>
        <w:trPr>
          <w:trHeight w:val="600" w:hRule="atLeast"/>
          <w:jc w:val="center"/>
        </w:trPr>
        <w:tc>
          <w:tcPr>
            <w:tcW w:w="124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25</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发生大规模医疗数据泄露或其他重大网络安全事件，造成严重后果。</w:t>
            </w:r>
          </w:p>
        </w:tc>
      </w:tr>
      <w:tr>
        <w:tblPrEx>
          <w:tblCellMar>
            <w:top w:w="0" w:type="dxa"/>
            <w:left w:w="108" w:type="dxa"/>
            <w:bottom w:w="0" w:type="dxa"/>
            <w:right w:w="108" w:type="dxa"/>
          </w:tblCellMar>
        </w:tblPrEx>
        <w:trPr>
          <w:trHeight w:val="548"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综合管理</w:t>
            </w:r>
          </w:p>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Fonts w:hint="eastAsia" w:ascii="仿宋_GB2312" w:hAnsi="宋体" w:eastAsia="仿宋_GB2312" w:cs="宋体"/>
                <w:color w:val="000000"/>
                <w:kern w:val="0"/>
                <w:sz w:val="24"/>
                <w:lang w:val="en-US" w:eastAsia="zh-CN" w:bidi="ar"/>
              </w:rPr>
              <w:t>4</w:t>
            </w:r>
            <w:r>
              <w:rPr>
                <w:rFonts w:hint="eastAsia" w:ascii="仿宋_GB2312" w:hAnsi="宋体" w:eastAsia="仿宋_GB2312" w:cs="宋体"/>
                <w:color w:val="000000"/>
                <w:kern w:val="0"/>
                <w:sz w:val="24"/>
                <w:lang w:bidi="ar"/>
              </w:rPr>
              <w:t>条）</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26</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发热门诊建设未达标；病毒核酸检测能力未达标。</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27</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sz w:val="24"/>
                <w:szCs w:val="24"/>
                <w:shd w:val="clear" w:fill="FFFFFF"/>
              </w:rPr>
              <w:t>评审周期内医疗机构不良执业行为记分任意一年累计达到或超过12分；评审周期内三年累计达到或者超过36分。</w:t>
            </w:r>
          </w:p>
        </w:tc>
      </w:tr>
      <w:tr>
        <w:tblPrEx>
          <w:tblCellMar>
            <w:top w:w="0" w:type="dxa"/>
            <w:left w:w="108" w:type="dxa"/>
            <w:bottom w:w="0" w:type="dxa"/>
            <w:right w:w="108" w:type="dxa"/>
          </w:tblCellMar>
        </w:tblPrEx>
        <w:trPr>
          <w:trHeight w:val="6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28</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8"/>
                <w:sz w:val="24"/>
                <w:szCs w:val="24"/>
                <w:shd w:val="clear" w:fill="FFFFFF"/>
              </w:rPr>
              <w:t>最新一次县医院医疗服务能力评估结果未达到基本</w:t>
            </w:r>
            <w:r>
              <w:rPr>
                <w:rFonts w:hint="eastAsia" w:ascii="仿宋_GB2312" w:hAnsi="仿宋_GB2312" w:eastAsia="仿宋_GB2312" w:cs="仿宋_GB2312"/>
                <w:i w:val="0"/>
                <w:caps w:val="0"/>
                <w:color w:val="auto"/>
                <w:spacing w:val="4"/>
                <w:sz w:val="24"/>
                <w:szCs w:val="24"/>
                <w:shd w:val="clear" w:fill="FFFFFF"/>
              </w:rPr>
              <w:t>标</w:t>
            </w:r>
            <w:r>
              <w:rPr>
                <w:rFonts w:hint="eastAsia" w:ascii="仿宋_GB2312" w:hAnsi="仿宋_GB2312" w:eastAsia="仿宋_GB2312" w:cs="仿宋_GB2312"/>
                <w:i w:val="0"/>
                <w:caps w:val="0"/>
                <w:color w:val="auto"/>
                <w:spacing w:val="-18"/>
                <w:sz w:val="24"/>
                <w:szCs w:val="24"/>
                <w:shd w:val="clear" w:fill="FFFFFF"/>
              </w:rPr>
              <w:t>准</w:t>
            </w:r>
            <w:r>
              <w:rPr>
                <w:rFonts w:hint="eastAsia" w:ascii="仿宋_GB2312" w:hAnsi="仿宋_GB2312" w:eastAsia="仿宋_GB2312" w:cs="仿宋_GB2312"/>
                <w:i w:val="0"/>
                <w:caps w:val="0"/>
                <w:color w:val="auto"/>
                <w:spacing w:val="-15"/>
                <w:sz w:val="24"/>
                <w:szCs w:val="24"/>
                <w:shd w:val="clear" w:fill="FFFFFF"/>
              </w:rPr>
              <w:t>以上。</w:t>
            </w:r>
          </w:p>
        </w:tc>
      </w:tr>
      <w:tr>
        <w:tblPrEx>
          <w:tblCellMar>
            <w:top w:w="0" w:type="dxa"/>
            <w:left w:w="108" w:type="dxa"/>
            <w:bottom w:w="0" w:type="dxa"/>
            <w:right w:w="108" w:type="dxa"/>
          </w:tblCellMar>
        </w:tblPrEx>
        <w:trPr>
          <w:trHeight w:val="41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29</w:t>
            </w:r>
          </w:p>
        </w:tc>
        <w:tc>
          <w:tcPr>
            <w:tcW w:w="8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7"/>
                <w:sz w:val="24"/>
                <w:szCs w:val="24"/>
                <w:shd w:val="clear" w:fill="FFFFFF"/>
              </w:rPr>
              <w:t>电子病历系统应用水平分级评价未达到 3 级以上。</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E008B"/>
    <w:rsid w:val="039A2A13"/>
    <w:rsid w:val="1BF10ACF"/>
    <w:rsid w:val="215E6892"/>
    <w:rsid w:val="21EE3A0B"/>
    <w:rsid w:val="26B568C4"/>
    <w:rsid w:val="3D8E008B"/>
    <w:rsid w:val="49413F46"/>
    <w:rsid w:val="5AA330EE"/>
    <w:rsid w:val="6356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黑体"/>
      <w:b/>
      <w:bCs/>
      <w:sz w:val="4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2023-11-07T02:24:00Z</dcterms:created>
  <dc:creator>LENOVO</dc:creator>
  <cp:lastModifiedBy>LENOVO</cp:lastModifiedBy>
  <dcterms:modified xsi:type="dcterms:W3CDTF">2023-11-08T09:23:52Z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